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D8C21" w14:textId="77777777" w:rsidR="002D2592" w:rsidRPr="00640E15" w:rsidRDefault="002D2592" w:rsidP="002D2592">
      <w:pPr>
        <w:pStyle w:val="Title"/>
        <w:pBdr>
          <w:bottom w:val="thinThickSmallGap" w:sz="24" w:space="1" w:color="auto"/>
        </w:pBdr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 xml:space="preserve">SOUTHWESTERN </w:t>
      </w:r>
      <w:r w:rsidRPr="00640E15">
        <w:rPr>
          <w:b/>
          <w:sz w:val="28"/>
          <w:szCs w:val="28"/>
          <w:u w:val="none"/>
        </w:rPr>
        <w:t>LOCAL AREA</w:t>
      </w:r>
    </w:p>
    <w:p w14:paraId="3CE586B6" w14:textId="77777777" w:rsidR="002D2592" w:rsidRPr="00B135A7" w:rsidRDefault="002D2592" w:rsidP="002D2592">
      <w:pPr>
        <w:pStyle w:val="Heading1"/>
        <w:jc w:val="left"/>
        <w:rPr>
          <w:sz w:val="16"/>
          <w:szCs w:val="16"/>
        </w:rPr>
      </w:pPr>
    </w:p>
    <w:p w14:paraId="4C6DBAD9" w14:textId="77777777" w:rsidR="002D2592" w:rsidRPr="00155C89" w:rsidRDefault="002D2592" w:rsidP="002D2592">
      <w:pPr>
        <w:pStyle w:val="Heading1"/>
        <w:jc w:val="left"/>
        <w:rPr>
          <w:rFonts w:asciiTheme="minorHAnsi" w:hAnsiTheme="minorHAnsi"/>
          <w:sz w:val="14"/>
          <w:szCs w:val="16"/>
        </w:rPr>
      </w:pPr>
      <w:r w:rsidRPr="00155C89">
        <w:rPr>
          <w:rFonts w:asciiTheme="minorHAnsi" w:hAnsiTheme="minorHAnsi"/>
          <w:sz w:val="24"/>
          <w:szCs w:val="28"/>
        </w:rPr>
        <w:t>SUBJECT:</w:t>
      </w:r>
      <w:r w:rsidRPr="00155C89">
        <w:rPr>
          <w:rFonts w:asciiTheme="minorHAnsi" w:hAnsiTheme="minorHAnsi"/>
          <w:sz w:val="28"/>
        </w:rPr>
        <w:tab/>
      </w:r>
      <w:r w:rsidRPr="00155C89">
        <w:rPr>
          <w:rFonts w:asciiTheme="minorHAnsi" w:hAnsiTheme="minorHAnsi"/>
          <w:sz w:val="28"/>
        </w:rPr>
        <w:tab/>
      </w:r>
      <w:r w:rsidR="00092CAF" w:rsidRPr="00155C89">
        <w:rPr>
          <w:rFonts w:asciiTheme="minorHAnsi" w:hAnsiTheme="minorHAnsi"/>
          <w:sz w:val="24"/>
          <w:szCs w:val="28"/>
        </w:rPr>
        <w:t>Priority of Service Policy</w:t>
      </w:r>
    </w:p>
    <w:p w14:paraId="28A602A8" w14:textId="77777777" w:rsidR="002D2592" w:rsidRPr="00155C89" w:rsidRDefault="00092CAF" w:rsidP="00092CAF">
      <w:pPr>
        <w:ind w:left="2160" w:hanging="2160"/>
        <w:rPr>
          <w:rFonts w:asciiTheme="minorHAnsi" w:hAnsiTheme="minorHAnsi"/>
          <w:b/>
          <w:bCs/>
          <w:sz w:val="14"/>
          <w:szCs w:val="16"/>
        </w:rPr>
      </w:pPr>
      <w:r w:rsidRPr="00155C89">
        <w:rPr>
          <w:rFonts w:asciiTheme="minorHAnsi" w:hAnsiTheme="minorHAnsi"/>
          <w:b/>
        </w:rPr>
        <w:t>P</w:t>
      </w:r>
      <w:r w:rsidR="002D2592" w:rsidRPr="00155C89">
        <w:rPr>
          <w:rFonts w:asciiTheme="minorHAnsi" w:hAnsiTheme="minorHAnsi"/>
          <w:b/>
        </w:rPr>
        <w:t>URPOSE:</w:t>
      </w:r>
      <w:r w:rsidRPr="00155C89">
        <w:rPr>
          <w:sz w:val="22"/>
        </w:rPr>
        <w:tab/>
      </w:r>
      <w:r w:rsidRPr="00155C89">
        <w:rPr>
          <w:rFonts w:asciiTheme="minorHAnsi" w:hAnsiTheme="minorHAnsi"/>
          <w:b/>
        </w:rPr>
        <w:t>To establish a policy for determining priority of services for adults receiving</w:t>
      </w:r>
      <w:r w:rsidR="00155C89" w:rsidRPr="00155C89">
        <w:rPr>
          <w:rFonts w:asciiTheme="minorHAnsi" w:hAnsiTheme="minorHAnsi"/>
          <w:b/>
        </w:rPr>
        <w:t xml:space="preserve"> </w:t>
      </w:r>
      <w:r w:rsidRPr="00155C89">
        <w:rPr>
          <w:rFonts w:asciiTheme="minorHAnsi" w:hAnsiTheme="minorHAnsi"/>
          <w:b/>
        </w:rPr>
        <w:t>training services under the Workforce In</w:t>
      </w:r>
      <w:r w:rsidR="001D56D2">
        <w:rPr>
          <w:rFonts w:asciiTheme="minorHAnsi" w:hAnsiTheme="minorHAnsi"/>
          <w:b/>
        </w:rPr>
        <w:t xml:space="preserve">novation and Opportunity </w:t>
      </w:r>
      <w:r w:rsidRPr="00155C89">
        <w:rPr>
          <w:rFonts w:asciiTheme="minorHAnsi" w:hAnsiTheme="minorHAnsi"/>
          <w:b/>
        </w:rPr>
        <w:t>Act (WI</w:t>
      </w:r>
      <w:r w:rsidR="001D56D2">
        <w:rPr>
          <w:rFonts w:asciiTheme="minorHAnsi" w:hAnsiTheme="minorHAnsi"/>
          <w:b/>
        </w:rPr>
        <w:t>O</w:t>
      </w:r>
      <w:r w:rsidRPr="00155C89">
        <w:rPr>
          <w:rFonts w:asciiTheme="minorHAnsi" w:hAnsiTheme="minorHAnsi"/>
          <w:b/>
        </w:rPr>
        <w:t>A) when it has been</w:t>
      </w:r>
      <w:r w:rsidRPr="00155C89">
        <w:t xml:space="preserve"> </w:t>
      </w:r>
      <w:r w:rsidRPr="00155C89">
        <w:rPr>
          <w:rFonts w:asciiTheme="minorHAnsi" w:hAnsiTheme="minorHAnsi"/>
          <w:b/>
        </w:rPr>
        <w:t>determined that funds in the local area are limited.</w:t>
      </w:r>
    </w:p>
    <w:p w14:paraId="03C0A91F" w14:textId="77777777" w:rsidR="00092CAF" w:rsidRDefault="002D2592" w:rsidP="00092CAF">
      <w:pPr>
        <w:ind w:left="2160" w:hanging="2160"/>
        <w:rPr>
          <w:rFonts w:asciiTheme="minorHAnsi" w:hAnsiTheme="minorHAnsi"/>
          <w:b/>
          <w:bCs/>
          <w:sz w:val="28"/>
          <w:szCs w:val="24"/>
        </w:rPr>
      </w:pPr>
      <w:r w:rsidRPr="00155C89">
        <w:rPr>
          <w:rFonts w:asciiTheme="minorHAnsi" w:hAnsiTheme="minorHAnsi"/>
          <w:b/>
          <w:bCs/>
          <w:szCs w:val="24"/>
        </w:rPr>
        <w:t>BACKGROUND:</w:t>
      </w:r>
      <w:r w:rsidR="00092CAF">
        <w:rPr>
          <w:rFonts w:asciiTheme="minorHAnsi" w:hAnsiTheme="minorHAnsi"/>
          <w:b/>
          <w:bCs/>
          <w:sz w:val="28"/>
          <w:szCs w:val="24"/>
        </w:rPr>
        <w:tab/>
      </w:r>
    </w:p>
    <w:p w14:paraId="1124C5AF" w14:textId="77777777" w:rsidR="002D2592" w:rsidRPr="00155C89" w:rsidRDefault="00092CAF" w:rsidP="00092CAF">
      <w:pPr>
        <w:rPr>
          <w:rFonts w:asciiTheme="minorHAnsi" w:hAnsiTheme="minorHAnsi"/>
          <w:bCs/>
          <w:sz w:val="22"/>
          <w:szCs w:val="24"/>
        </w:rPr>
      </w:pPr>
      <w:r w:rsidRPr="00155C89">
        <w:rPr>
          <w:rFonts w:asciiTheme="minorHAnsi" w:hAnsiTheme="minorHAnsi"/>
          <w:bCs/>
          <w:sz w:val="22"/>
          <w:szCs w:val="24"/>
        </w:rPr>
        <w:t>WI</w:t>
      </w:r>
      <w:r w:rsidR="001D56D2">
        <w:rPr>
          <w:rFonts w:asciiTheme="minorHAnsi" w:hAnsiTheme="minorHAnsi"/>
          <w:bCs/>
          <w:sz w:val="22"/>
          <w:szCs w:val="24"/>
        </w:rPr>
        <w:t>O</w:t>
      </w:r>
      <w:r w:rsidRPr="00155C89">
        <w:rPr>
          <w:rFonts w:asciiTheme="minorHAnsi" w:hAnsiTheme="minorHAnsi"/>
          <w:bCs/>
          <w:sz w:val="22"/>
          <w:szCs w:val="24"/>
        </w:rPr>
        <w:t>A section 134(d)(4)(E) and Federal Regulations section 663.600 establish the need for the local Workforce Investment Area to have a system of priority for services to adults when a determination has been made that funds are limited.</w:t>
      </w:r>
      <w:r w:rsidR="00230733" w:rsidRPr="00155C89">
        <w:rPr>
          <w:rFonts w:asciiTheme="minorHAnsi" w:hAnsiTheme="minorHAnsi"/>
          <w:bCs/>
          <w:sz w:val="22"/>
          <w:szCs w:val="24"/>
        </w:rPr>
        <w:t xml:space="preserve">  </w:t>
      </w:r>
      <w:r w:rsidR="00A2729F">
        <w:rPr>
          <w:rFonts w:asciiTheme="minorHAnsi" w:hAnsiTheme="minorHAnsi"/>
          <w:bCs/>
          <w:sz w:val="22"/>
          <w:szCs w:val="24"/>
        </w:rPr>
        <w:t>On June 3, 1997, the General Assembly ratified Senate Bill 936, G.S. 165-44, a statute that requires eligible veterans to be given priority of service in employment and training programs.  Additionally, T</w:t>
      </w:r>
      <w:r w:rsidRPr="00155C89">
        <w:rPr>
          <w:rFonts w:asciiTheme="minorHAnsi" w:hAnsiTheme="minorHAnsi"/>
          <w:bCs/>
          <w:sz w:val="22"/>
          <w:szCs w:val="24"/>
        </w:rPr>
        <w:t xml:space="preserve">he Jobs for Veterans Act, Public Law 107-288, was signed into law on November 7, 2002. One provision of the Jobs for Veterans Act, codified at 38 U.S.C. § 4215, establishes a priority of service requirement for covered persons (i.e., veterans and eligible spouses, including widows and widowers, as defined by this statute) in qualified job training programs. </w:t>
      </w:r>
      <w:r w:rsidR="00A2729F">
        <w:rPr>
          <w:rFonts w:asciiTheme="minorHAnsi" w:hAnsiTheme="minorHAnsi"/>
          <w:bCs/>
          <w:sz w:val="22"/>
          <w:szCs w:val="24"/>
        </w:rPr>
        <w:t xml:space="preserve"> </w:t>
      </w:r>
    </w:p>
    <w:p w14:paraId="4AC07FA0" w14:textId="77777777" w:rsidR="002D2592" w:rsidRPr="00092CAF" w:rsidRDefault="002D2592" w:rsidP="002D2592">
      <w:pPr>
        <w:rPr>
          <w:rFonts w:asciiTheme="minorHAnsi" w:hAnsiTheme="minorHAnsi"/>
          <w:b/>
          <w:bCs/>
          <w:sz w:val="16"/>
          <w:szCs w:val="16"/>
        </w:rPr>
      </w:pPr>
    </w:p>
    <w:p w14:paraId="55ECE7AD" w14:textId="77777777" w:rsidR="002D2592" w:rsidRPr="00092CAF" w:rsidRDefault="002D2592" w:rsidP="002D2592">
      <w:pPr>
        <w:rPr>
          <w:rFonts w:asciiTheme="minorHAnsi" w:hAnsiTheme="minorHAnsi"/>
          <w:b/>
          <w:bCs/>
          <w:szCs w:val="24"/>
        </w:rPr>
      </w:pPr>
      <w:r w:rsidRPr="00092CAF">
        <w:rPr>
          <w:rFonts w:asciiTheme="minorHAnsi" w:hAnsiTheme="minorHAnsi"/>
          <w:b/>
          <w:bCs/>
          <w:szCs w:val="24"/>
        </w:rPr>
        <w:t>ACTION:</w:t>
      </w:r>
    </w:p>
    <w:p w14:paraId="7C80CDC8" w14:textId="77777777" w:rsidR="00230733" w:rsidRPr="00155C89" w:rsidRDefault="00230733" w:rsidP="00230733">
      <w:pPr>
        <w:rPr>
          <w:rFonts w:asciiTheme="minorHAnsi" w:hAnsiTheme="minorHAnsi"/>
          <w:sz w:val="22"/>
        </w:rPr>
      </w:pPr>
      <w:r w:rsidRPr="00155C89">
        <w:rPr>
          <w:rFonts w:asciiTheme="minorHAnsi" w:hAnsiTheme="minorHAnsi"/>
          <w:sz w:val="22"/>
        </w:rPr>
        <w:t>The Southwestern Workforce Development Board has determined that funds for</w:t>
      </w:r>
      <w:r w:rsidR="00155C89">
        <w:rPr>
          <w:rFonts w:asciiTheme="minorHAnsi" w:hAnsiTheme="minorHAnsi"/>
          <w:sz w:val="22"/>
        </w:rPr>
        <w:t xml:space="preserve"> </w:t>
      </w:r>
      <w:r w:rsidR="00155C89" w:rsidRPr="00155C89">
        <w:rPr>
          <w:rFonts w:asciiTheme="minorHAnsi" w:hAnsiTheme="minorHAnsi"/>
          <w:sz w:val="22"/>
        </w:rPr>
        <w:t>training</w:t>
      </w:r>
      <w:r w:rsidR="00CE36AE" w:rsidRPr="00155C89">
        <w:rPr>
          <w:rFonts w:asciiTheme="minorHAnsi" w:hAnsiTheme="minorHAnsi"/>
          <w:sz w:val="22"/>
        </w:rPr>
        <w:t xml:space="preserve"> </w:t>
      </w:r>
      <w:r w:rsidRPr="00155C89">
        <w:rPr>
          <w:rFonts w:asciiTheme="minorHAnsi" w:hAnsiTheme="minorHAnsi"/>
          <w:sz w:val="22"/>
        </w:rPr>
        <w:t xml:space="preserve">services </w:t>
      </w:r>
      <w:r w:rsidR="00CE36AE" w:rsidRPr="00155C89">
        <w:rPr>
          <w:rFonts w:asciiTheme="minorHAnsi" w:hAnsiTheme="minorHAnsi"/>
          <w:sz w:val="22"/>
        </w:rPr>
        <w:t>for</w:t>
      </w:r>
      <w:r w:rsidRPr="00155C89">
        <w:rPr>
          <w:rFonts w:asciiTheme="minorHAnsi" w:hAnsiTheme="minorHAnsi"/>
          <w:sz w:val="22"/>
        </w:rPr>
        <w:t xml:space="preserve"> adults are limited in </w:t>
      </w:r>
      <w:r w:rsidR="00CE36AE" w:rsidRPr="00155C89">
        <w:rPr>
          <w:rFonts w:asciiTheme="minorHAnsi" w:hAnsiTheme="minorHAnsi"/>
          <w:sz w:val="22"/>
        </w:rPr>
        <w:t xml:space="preserve">the </w:t>
      </w:r>
      <w:r w:rsidRPr="00155C89">
        <w:rPr>
          <w:rFonts w:asciiTheme="minorHAnsi" w:hAnsiTheme="minorHAnsi"/>
          <w:sz w:val="22"/>
        </w:rPr>
        <w:t xml:space="preserve">Southwestern local area.  In making this determination the following factors were considered: </w:t>
      </w:r>
    </w:p>
    <w:p w14:paraId="74636E1C" w14:textId="77777777" w:rsidR="00230733" w:rsidRPr="00155C89" w:rsidRDefault="00230733" w:rsidP="00230733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155C89">
        <w:rPr>
          <w:rFonts w:asciiTheme="minorHAnsi" w:hAnsiTheme="minorHAnsi"/>
          <w:sz w:val="22"/>
        </w:rPr>
        <w:t xml:space="preserve">Budget information, including actual and projected funding levels, obligations and expenditures; </w:t>
      </w:r>
    </w:p>
    <w:p w14:paraId="25841D23" w14:textId="77777777" w:rsidR="00230733" w:rsidRPr="00155C89" w:rsidRDefault="00230733" w:rsidP="00230733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155C89">
        <w:rPr>
          <w:rFonts w:asciiTheme="minorHAnsi" w:hAnsiTheme="minorHAnsi"/>
          <w:sz w:val="22"/>
        </w:rPr>
        <w:t>Cost information, including the cost of delivering</w:t>
      </w:r>
      <w:r w:rsidR="001D56D2">
        <w:rPr>
          <w:rFonts w:asciiTheme="minorHAnsi" w:hAnsiTheme="minorHAnsi"/>
          <w:sz w:val="22"/>
        </w:rPr>
        <w:t xml:space="preserve"> </w:t>
      </w:r>
      <w:r w:rsidRPr="00155C89">
        <w:rPr>
          <w:rFonts w:asciiTheme="minorHAnsi" w:hAnsiTheme="minorHAnsi"/>
          <w:sz w:val="22"/>
        </w:rPr>
        <w:t xml:space="preserve">training services; </w:t>
      </w:r>
    </w:p>
    <w:p w14:paraId="585E9005" w14:textId="77777777" w:rsidR="00230733" w:rsidRPr="00155C89" w:rsidRDefault="00230733" w:rsidP="00230733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155C89">
        <w:rPr>
          <w:rFonts w:asciiTheme="minorHAnsi" w:hAnsiTheme="minorHAnsi"/>
          <w:sz w:val="22"/>
        </w:rPr>
        <w:t xml:space="preserve">Expected demand for training services; </w:t>
      </w:r>
    </w:p>
    <w:p w14:paraId="3EC7F485" w14:textId="77777777" w:rsidR="00230733" w:rsidRPr="00155C89" w:rsidRDefault="00230733" w:rsidP="00230733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155C89">
        <w:rPr>
          <w:rFonts w:asciiTheme="minorHAnsi" w:hAnsiTheme="minorHAnsi"/>
          <w:sz w:val="22"/>
        </w:rPr>
        <w:t xml:space="preserve">General economic conditions in the area. </w:t>
      </w:r>
    </w:p>
    <w:p w14:paraId="17FC70F4" w14:textId="77777777" w:rsidR="00230733" w:rsidRPr="00155C89" w:rsidRDefault="00230733" w:rsidP="00230733">
      <w:pPr>
        <w:rPr>
          <w:rFonts w:asciiTheme="minorHAnsi" w:hAnsiTheme="minorHAnsi"/>
          <w:sz w:val="22"/>
        </w:rPr>
      </w:pPr>
    </w:p>
    <w:p w14:paraId="4A8603ED" w14:textId="2D10861D" w:rsidR="00155C89" w:rsidRPr="00DE326C" w:rsidRDefault="00230733" w:rsidP="00230733">
      <w:pPr>
        <w:rPr>
          <w:rFonts w:asciiTheme="minorHAnsi" w:hAnsiTheme="minorHAnsi"/>
          <w:sz w:val="22"/>
        </w:rPr>
      </w:pPr>
      <w:r w:rsidRPr="00155C89">
        <w:rPr>
          <w:rFonts w:asciiTheme="minorHAnsi" w:hAnsiTheme="minorHAnsi"/>
          <w:sz w:val="22"/>
        </w:rPr>
        <w:t>All adult participants will be eligible to receive c</w:t>
      </w:r>
      <w:r w:rsidR="001D56D2">
        <w:rPr>
          <w:rFonts w:asciiTheme="minorHAnsi" w:hAnsiTheme="minorHAnsi"/>
          <w:sz w:val="22"/>
        </w:rPr>
        <w:t xml:space="preserve">areer </w:t>
      </w:r>
      <w:r w:rsidR="00135EED" w:rsidRPr="00155C89">
        <w:rPr>
          <w:rFonts w:asciiTheme="minorHAnsi" w:hAnsiTheme="minorHAnsi"/>
          <w:sz w:val="22"/>
        </w:rPr>
        <w:t>and intensive</w:t>
      </w:r>
      <w:r w:rsidRPr="00155C89">
        <w:rPr>
          <w:rFonts w:asciiTheme="minorHAnsi" w:hAnsiTheme="minorHAnsi"/>
          <w:sz w:val="22"/>
        </w:rPr>
        <w:t xml:space="preserve"> services.   At such time that it is determined that an individual is in need of </w:t>
      </w:r>
      <w:r w:rsidR="00135EED" w:rsidRPr="00155C89">
        <w:rPr>
          <w:rFonts w:asciiTheme="minorHAnsi" w:hAnsiTheme="minorHAnsi"/>
          <w:sz w:val="22"/>
        </w:rPr>
        <w:t>training services</w:t>
      </w:r>
      <w:r w:rsidRPr="00155C89">
        <w:rPr>
          <w:rFonts w:asciiTheme="minorHAnsi" w:hAnsiTheme="minorHAnsi"/>
          <w:sz w:val="22"/>
        </w:rPr>
        <w:t xml:space="preserve">, the Priority of Service system will be utilized.  First priority will be given </w:t>
      </w:r>
      <w:r w:rsidR="00135EED" w:rsidRPr="00155C89">
        <w:rPr>
          <w:rFonts w:asciiTheme="minorHAnsi" w:hAnsiTheme="minorHAnsi"/>
          <w:sz w:val="22"/>
        </w:rPr>
        <w:t>to Veterans</w:t>
      </w:r>
      <w:r w:rsidRPr="00155C89">
        <w:rPr>
          <w:rFonts w:asciiTheme="minorHAnsi" w:hAnsiTheme="minorHAnsi"/>
          <w:sz w:val="22"/>
        </w:rPr>
        <w:t xml:space="preserve"> and eligible spouses</w:t>
      </w:r>
      <w:r w:rsidR="00DE326C">
        <w:rPr>
          <w:rFonts w:asciiTheme="minorHAnsi" w:hAnsiTheme="minorHAnsi"/>
          <w:sz w:val="22"/>
        </w:rPr>
        <w:t xml:space="preserve"> who are low income or public assistance </w:t>
      </w:r>
      <w:r w:rsidR="000A1677">
        <w:rPr>
          <w:rFonts w:asciiTheme="minorHAnsi" w:hAnsiTheme="minorHAnsi"/>
          <w:sz w:val="22"/>
        </w:rPr>
        <w:t>recipients.</w:t>
      </w:r>
      <w:r w:rsidR="00A2729F">
        <w:rPr>
          <w:rFonts w:asciiTheme="minorHAnsi" w:hAnsiTheme="minorHAnsi"/>
          <w:sz w:val="22"/>
        </w:rPr>
        <w:t xml:space="preserve">  </w:t>
      </w:r>
      <w:r w:rsidRPr="00155C89">
        <w:rPr>
          <w:rFonts w:asciiTheme="minorHAnsi" w:hAnsiTheme="minorHAnsi"/>
          <w:sz w:val="22"/>
        </w:rPr>
        <w:t xml:space="preserve"> The second priority </w:t>
      </w:r>
      <w:r w:rsidR="00135EED" w:rsidRPr="00155C89">
        <w:rPr>
          <w:rFonts w:asciiTheme="minorHAnsi" w:hAnsiTheme="minorHAnsi"/>
          <w:sz w:val="22"/>
        </w:rPr>
        <w:t>will</w:t>
      </w:r>
      <w:r w:rsidRPr="00155C89">
        <w:rPr>
          <w:rFonts w:asciiTheme="minorHAnsi" w:hAnsiTheme="minorHAnsi"/>
          <w:sz w:val="22"/>
        </w:rPr>
        <w:t xml:space="preserve"> be recipients of public assistance</w:t>
      </w:r>
      <w:r w:rsidR="003016D0">
        <w:rPr>
          <w:rFonts w:asciiTheme="minorHAnsi" w:hAnsiTheme="minorHAnsi"/>
          <w:sz w:val="22"/>
        </w:rPr>
        <w:t>, low income</w:t>
      </w:r>
      <w:r w:rsidR="00DF66A5">
        <w:rPr>
          <w:rFonts w:asciiTheme="minorHAnsi" w:hAnsiTheme="minorHAnsi"/>
          <w:sz w:val="22"/>
        </w:rPr>
        <w:t>,</w:t>
      </w:r>
      <w:r w:rsidR="009C4029">
        <w:rPr>
          <w:rFonts w:asciiTheme="minorHAnsi" w:hAnsiTheme="minorHAnsi"/>
          <w:sz w:val="22"/>
        </w:rPr>
        <w:t xml:space="preserve"> </w:t>
      </w:r>
      <w:r w:rsidR="00DF66A5">
        <w:rPr>
          <w:rFonts w:asciiTheme="minorHAnsi" w:hAnsiTheme="minorHAnsi"/>
          <w:sz w:val="22"/>
        </w:rPr>
        <w:t>basic skills individuals</w:t>
      </w:r>
      <w:r w:rsidR="009C4029">
        <w:rPr>
          <w:rFonts w:asciiTheme="minorHAnsi" w:hAnsiTheme="minorHAnsi"/>
          <w:sz w:val="22"/>
        </w:rPr>
        <w:t>,</w:t>
      </w:r>
      <w:r w:rsidR="00DF66A5">
        <w:rPr>
          <w:rFonts w:asciiTheme="minorHAnsi" w:hAnsiTheme="minorHAnsi"/>
          <w:sz w:val="22"/>
        </w:rPr>
        <w:t xml:space="preserve"> </w:t>
      </w:r>
      <w:r w:rsidR="009C4029">
        <w:rPr>
          <w:rFonts w:asciiTheme="minorHAnsi" w:hAnsiTheme="minorHAnsi"/>
          <w:sz w:val="22"/>
        </w:rPr>
        <w:t xml:space="preserve">and </w:t>
      </w:r>
      <w:r w:rsidRPr="00155C89">
        <w:rPr>
          <w:rFonts w:asciiTheme="minorHAnsi" w:hAnsiTheme="minorHAnsi"/>
          <w:sz w:val="22"/>
        </w:rPr>
        <w:t>other low-income individuals who are not veterans or eligible spouses</w:t>
      </w:r>
      <w:r w:rsidR="0024183F" w:rsidRPr="00155C89">
        <w:rPr>
          <w:rFonts w:asciiTheme="minorHAnsi" w:hAnsiTheme="minorHAnsi"/>
          <w:sz w:val="22"/>
        </w:rPr>
        <w:t xml:space="preserve"> of veterans</w:t>
      </w:r>
      <w:r w:rsidRPr="00DE326C">
        <w:rPr>
          <w:rFonts w:asciiTheme="minorHAnsi" w:hAnsiTheme="minorHAnsi"/>
          <w:sz w:val="22"/>
        </w:rPr>
        <w:t>.</w:t>
      </w:r>
      <w:r w:rsidR="00135EED" w:rsidRPr="00DE326C">
        <w:rPr>
          <w:rFonts w:asciiTheme="minorHAnsi" w:hAnsiTheme="minorHAnsi"/>
          <w:sz w:val="22"/>
        </w:rPr>
        <w:t xml:space="preserve">  </w:t>
      </w:r>
      <w:r w:rsidR="00DE326C" w:rsidRPr="00DE326C">
        <w:rPr>
          <w:rFonts w:asciiTheme="minorHAnsi" w:hAnsiTheme="minorHAnsi"/>
          <w:sz w:val="22"/>
        </w:rPr>
        <w:t xml:space="preserve"> Third priority will be given to veterans and eligible spouses who are not low income or public assistance recipients. </w:t>
      </w:r>
    </w:p>
    <w:p w14:paraId="12517949" w14:textId="77777777" w:rsidR="00155C89" w:rsidRPr="00DE326C" w:rsidRDefault="00155C89" w:rsidP="00230733">
      <w:pPr>
        <w:rPr>
          <w:rFonts w:asciiTheme="minorHAnsi" w:hAnsiTheme="minorHAnsi"/>
          <w:sz w:val="22"/>
        </w:rPr>
      </w:pPr>
    </w:p>
    <w:p w14:paraId="5AA6A55B" w14:textId="77777777" w:rsidR="00230733" w:rsidRPr="00155C89" w:rsidRDefault="00155C89" w:rsidP="00230733">
      <w:pPr>
        <w:rPr>
          <w:rFonts w:asciiTheme="minorHAnsi" w:hAnsiTheme="minorHAnsi"/>
          <w:sz w:val="22"/>
        </w:rPr>
      </w:pPr>
      <w:r w:rsidRPr="00A2729F">
        <w:rPr>
          <w:rFonts w:ascii="Calibri" w:hAnsi="Calibri"/>
          <w:color w:val="000000"/>
          <w:spacing w:val="1"/>
          <w:sz w:val="22"/>
          <w:szCs w:val="24"/>
        </w:rPr>
        <w:t xml:space="preserve">Priority of services does </w:t>
      </w:r>
      <w:r w:rsidRPr="00A2729F">
        <w:rPr>
          <w:rFonts w:ascii="Calibri" w:hAnsi="Calibri"/>
          <w:color w:val="000000"/>
          <w:spacing w:val="1"/>
          <w:w w:val="110"/>
          <w:sz w:val="22"/>
          <w:szCs w:val="24"/>
          <w:u w:val="single"/>
        </w:rPr>
        <w:t>not</w:t>
      </w:r>
      <w:r w:rsidRPr="00A2729F">
        <w:rPr>
          <w:rFonts w:ascii="Calibri" w:hAnsi="Calibri"/>
          <w:color w:val="000000"/>
          <w:spacing w:val="1"/>
          <w:sz w:val="22"/>
          <w:szCs w:val="24"/>
        </w:rPr>
        <w:t xml:space="preserve"> preclude service to individuals who are not low-income, </w:t>
      </w:r>
      <w:r w:rsidRPr="00A2729F">
        <w:rPr>
          <w:rFonts w:ascii="Calibri" w:hAnsi="Calibri"/>
          <w:color w:val="000000"/>
          <w:spacing w:val="3"/>
          <w:sz w:val="22"/>
          <w:szCs w:val="24"/>
        </w:rPr>
        <w:t xml:space="preserve">not receiving public assistance or not a veteran, but rather establishes the order of </w:t>
      </w:r>
      <w:r w:rsidRPr="00A2729F">
        <w:rPr>
          <w:rFonts w:ascii="Calibri" w:hAnsi="Calibri"/>
          <w:color w:val="000000"/>
          <w:sz w:val="22"/>
          <w:szCs w:val="24"/>
        </w:rPr>
        <w:t>precedence for service as provided in Section 663.600(d</w:t>
      </w:r>
      <w:r w:rsidRPr="00A2729F">
        <w:rPr>
          <w:rFonts w:ascii="Calibri" w:hAnsi="Calibri"/>
          <w:color w:val="000000"/>
          <w:szCs w:val="24"/>
        </w:rPr>
        <w:t xml:space="preserve">) of the Federal Register.  </w:t>
      </w:r>
      <w:r w:rsidR="00135EED" w:rsidRPr="00A2729F">
        <w:rPr>
          <w:rFonts w:asciiTheme="minorHAnsi" w:hAnsiTheme="minorHAnsi"/>
          <w:sz w:val="22"/>
        </w:rPr>
        <w:t>On a case by case basis, permission may be granted by the Local Area Director to enroll in training adults who exceed the 70% income guidelines.</w:t>
      </w:r>
      <w:r w:rsidR="00135EED" w:rsidRPr="00155C89">
        <w:rPr>
          <w:rFonts w:asciiTheme="minorHAnsi" w:hAnsiTheme="minorHAnsi"/>
          <w:sz w:val="22"/>
        </w:rPr>
        <w:t xml:space="preserve">  </w:t>
      </w:r>
    </w:p>
    <w:p w14:paraId="46228AF8" w14:textId="77777777" w:rsidR="002D2592" w:rsidRPr="00230733" w:rsidRDefault="002D2592" w:rsidP="002D2592">
      <w:pPr>
        <w:jc w:val="both"/>
        <w:rPr>
          <w:rFonts w:asciiTheme="minorHAnsi" w:hAnsiTheme="minorHAnsi"/>
          <w:sz w:val="20"/>
          <w:szCs w:val="16"/>
        </w:rPr>
      </w:pPr>
    </w:p>
    <w:p w14:paraId="363A300D" w14:textId="77777777" w:rsidR="002D2592" w:rsidRDefault="002D2592" w:rsidP="002D2592">
      <w:pPr>
        <w:jc w:val="both"/>
      </w:pPr>
      <w:r>
        <w:t>EFFECTIVE DATE:</w:t>
      </w:r>
      <w:r>
        <w:tab/>
      </w:r>
      <w:r>
        <w:tab/>
        <w:t>Immediate</w:t>
      </w:r>
    </w:p>
    <w:p w14:paraId="71522209" w14:textId="77777777" w:rsidR="002D2592" w:rsidRPr="00934404" w:rsidRDefault="002D2592" w:rsidP="002D2592">
      <w:pPr>
        <w:jc w:val="both"/>
        <w:rPr>
          <w:sz w:val="18"/>
          <w:szCs w:val="18"/>
        </w:rPr>
      </w:pPr>
    </w:p>
    <w:p w14:paraId="76F09FC3" w14:textId="77777777" w:rsidR="002D2592" w:rsidRDefault="002D2592" w:rsidP="002D2592">
      <w:pPr>
        <w:jc w:val="both"/>
      </w:pPr>
      <w:r>
        <w:t>EXPIRATION DATE:</w:t>
      </w:r>
      <w:r>
        <w:tab/>
        <w:t>Indefinite</w:t>
      </w:r>
    </w:p>
    <w:p w14:paraId="082DFCA5" w14:textId="77777777" w:rsidR="002D2592" w:rsidRPr="00934404" w:rsidRDefault="002D2592" w:rsidP="002D2592">
      <w:pPr>
        <w:jc w:val="both"/>
        <w:rPr>
          <w:sz w:val="18"/>
          <w:szCs w:val="18"/>
        </w:rPr>
      </w:pPr>
    </w:p>
    <w:p w14:paraId="674202B5" w14:textId="2C903E67" w:rsidR="002D2592" w:rsidRDefault="002D2592" w:rsidP="002D2592">
      <w:pPr>
        <w:jc w:val="both"/>
      </w:pPr>
      <w:r>
        <w:t>CONTACT:</w:t>
      </w:r>
      <w:r>
        <w:tab/>
      </w:r>
      <w:r>
        <w:tab/>
      </w:r>
      <w:r>
        <w:tab/>
      </w:r>
      <w:r w:rsidR="00DE102F">
        <w:t>David Garrett</w:t>
      </w:r>
    </w:p>
    <w:p w14:paraId="6A6EBF81" w14:textId="77777777" w:rsidR="002D2592" w:rsidRDefault="002D2592" w:rsidP="002D2592">
      <w:pPr>
        <w:jc w:val="both"/>
        <w:rPr>
          <w:b/>
          <w:sz w:val="16"/>
          <w:szCs w:val="16"/>
          <w:u w:val="single"/>
        </w:rPr>
      </w:pPr>
    </w:p>
    <w:sectPr w:rsidR="002D2592" w:rsidSect="00803354">
      <w:foot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0260B" w14:textId="77777777" w:rsidR="002329EA" w:rsidRDefault="002329EA" w:rsidP="002D2592">
      <w:r>
        <w:separator/>
      </w:r>
    </w:p>
  </w:endnote>
  <w:endnote w:type="continuationSeparator" w:id="0">
    <w:p w14:paraId="764CCDD0" w14:textId="77777777" w:rsidR="002329EA" w:rsidRDefault="002329EA" w:rsidP="002D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6A24" w14:textId="77777777" w:rsidR="000C4839" w:rsidRDefault="000C4839" w:rsidP="002D2592">
    <w:pPr>
      <w:pStyle w:val="Footer"/>
      <w:tabs>
        <w:tab w:val="right" w:pos="8730"/>
      </w:tabs>
      <w:rPr>
        <w:i/>
        <w:sz w:val="18"/>
        <w:szCs w:val="18"/>
      </w:rPr>
    </w:pPr>
    <w:r>
      <w:rPr>
        <w:i/>
        <w:sz w:val="18"/>
        <w:szCs w:val="18"/>
      </w:rPr>
      <w:t xml:space="preserve">Southwestern Workforce Development Consortium – revised </w:t>
    </w:r>
    <w:r w:rsidR="000D58A2">
      <w:rPr>
        <w:i/>
        <w:sz w:val="18"/>
        <w:szCs w:val="18"/>
      </w:rPr>
      <w:t>7</w:t>
    </w:r>
    <w:r w:rsidR="00DE326C">
      <w:rPr>
        <w:i/>
        <w:sz w:val="18"/>
        <w:szCs w:val="18"/>
      </w:rPr>
      <w:t>/</w:t>
    </w:r>
    <w:r w:rsidR="000D58A2">
      <w:rPr>
        <w:i/>
        <w:sz w:val="18"/>
        <w:szCs w:val="18"/>
      </w:rPr>
      <w:t>1</w:t>
    </w:r>
    <w:r w:rsidR="00DE326C">
      <w:rPr>
        <w:i/>
        <w:sz w:val="18"/>
        <w:szCs w:val="18"/>
      </w:rPr>
      <w:t>/201</w:t>
    </w:r>
    <w:r w:rsidR="000D58A2">
      <w:rPr>
        <w:i/>
        <w:sz w:val="18"/>
        <w:szCs w:val="18"/>
      </w:rPr>
      <w:t>5</w:t>
    </w:r>
  </w:p>
  <w:p w14:paraId="6513DD9D" w14:textId="77777777" w:rsidR="000C4839" w:rsidRPr="00427198" w:rsidRDefault="000C4839" w:rsidP="00D95DA2">
    <w:pPr>
      <w:pStyle w:val="Footer"/>
      <w:tabs>
        <w:tab w:val="right" w:pos="8730"/>
      </w:tabs>
      <w:ind w:left="-540"/>
      <w:rPr>
        <w:i/>
        <w:sz w:val="18"/>
        <w:szCs w:val="18"/>
      </w:rPr>
    </w:pPr>
    <w:r>
      <w:rPr>
        <w:i/>
        <w:sz w:val="18"/>
        <w:szCs w:val="18"/>
      </w:rPr>
      <w:t xml:space="preserve">                                                                                                                                                       </w:t>
    </w:r>
  </w:p>
  <w:p w14:paraId="4629B783" w14:textId="77777777" w:rsidR="000C4839" w:rsidRDefault="000C4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B491B" w14:textId="77777777" w:rsidR="002329EA" w:rsidRDefault="002329EA" w:rsidP="002D2592">
      <w:r>
        <w:separator/>
      </w:r>
    </w:p>
  </w:footnote>
  <w:footnote w:type="continuationSeparator" w:id="0">
    <w:p w14:paraId="2F06997B" w14:textId="77777777" w:rsidR="002329EA" w:rsidRDefault="002329EA" w:rsidP="002D2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F7D0B"/>
    <w:multiLevelType w:val="hybridMultilevel"/>
    <w:tmpl w:val="DB70FAD6"/>
    <w:lvl w:ilvl="0" w:tplc="630C5C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27E5C"/>
    <w:multiLevelType w:val="hybridMultilevel"/>
    <w:tmpl w:val="A816BDE8"/>
    <w:lvl w:ilvl="0" w:tplc="630C5C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C6E68"/>
    <w:multiLevelType w:val="hybridMultilevel"/>
    <w:tmpl w:val="8CA6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71B3C"/>
    <w:multiLevelType w:val="hybridMultilevel"/>
    <w:tmpl w:val="1F461D14"/>
    <w:lvl w:ilvl="0" w:tplc="630C5C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8127675">
    <w:abstractNumId w:val="0"/>
  </w:num>
  <w:num w:numId="2" w16cid:durableId="865630517">
    <w:abstractNumId w:val="3"/>
  </w:num>
  <w:num w:numId="3" w16cid:durableId="908075490">
    <w:abstractNumId w:val="1"/>
  </w:num>
  <w:num w:numId="4" w16cid:durableId="1413163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92"/>
    <w:rsid w:val="00092CAF"/>
    <w:rsid w:val="000A1677"/>
    <w:rsid w:val="000C4839"/>
    <w:rsid w:val="000D58A2"/>
    <w:rsid w:val="000D779E"/>
    <w:rsid w:val="001034E3"/>
    <w:rsid w:val="00135EED"/>
    <w:rsid w:val="001428C4"/>
    <w:rsid w:val="00155C89"/>
    <w:rsid w:val="001805A7"/>
    <w:rsid w:val="00184BC0"/>
    <w:rsid w:val="00187EEC"/>
    <w:rsid w:val="001C0BF9"/>
    <w:rsid w:val="001D56D2"/>
    <w:rsid w:val="001F0340"/>
    <w:rsid w:val="001F613C"/>
    <w:rsid w:val="00230733"/>
    <w:rsid w:val="002329EA"/>
    <w:rsid w:val="0024183F"/>
    <w:rsid w:val="002D2592"/>
    <w:rsid w:val="002E5F54"/>
    <w:rsid w:val="003016D0"/>
    <w:rsid w:val="003B7C5A"/>
    <w:rsid w:val="003F300D"/>
    <w:rsid w:val="00432C15"/>
    <w:rsid w:val="00461FB6"/>
    <w:rsid w:val="004A147F"/>
    <w:rsid w:val="005B4194"/>
    <w:rsid w:val="005D1C75"/>
    <w:rsid w:val="00657030"/>
    <w:rsid w:val="00663E61"/>
    <w:rsid w:val="0079233C"/>
    <w:rsid w:val="007C1A8C"/>
    <w:rsid w:val="00803354"/>
    <w:rsid w:val="00812FCE"/>
    <w:rsid w:val="00882850"/>
    <w:rsid w:val="008A3B53"/>
    <w:rsid w:val="00935BD1"/>
    <w:rsid w:val="00983148"/>
    <w:rsid w:val="009C4029"/>
    <w:rsid w:val="00A2729F"/>
    <w:rsid w:val="00A35E64"/>
    <w:rsid w:val="00A5658F"/>
    <w:rsid w:val="00AB7A80"/>
    <w:rsid w:val="00B1216A"/>
    <w:rsid w:val="00BB3C31"/>
    <w:rsid w:val="00C80AF7"/>
    <w:rsid w:val="00CE36AE"/>
    <w:rsid w:val="00D95DA2"/>
    <w:rsid w:val="00DE102F"/>
    <w:rsid w:val="00DE326C"/>
    <w:rsid w:val="00DF66A5"/>
    <w:rsid w:val="00E34B3D"/>
    <w:rsid w:val="00F55354"/>
    <w:rsid w:val="00F7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A3BBC"/>
  <w15:docId w15:val="{B24D690C-76E0-4613-B350-814B242A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92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2D2592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2D2592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2592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2D2592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2D2592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2D2592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25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59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2D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259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3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Commission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Ledford</dc:creator>
  <cp:lastModifiedBy>David Garrett</cp:lastModifiedBy>
  <cp:revision>6</cp:revision>
  <cp:lastPrinted>2013-08-23T15:01:00Z</cp:lastPrinted>
  <dcterms:created xsi:type="dcterms:W3CDTF">2019-04-22T17:15:00Z</dcterms:created>
  <dcterms:modified xsi:type="dcterms:W3CDTF">2022-06-16T16:56:00Z</dcterms:modified>
</cp:coreProperties>
</file>