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D92" w14:textId="77777777" w:rsidR="002D2592" w:rsidRPr="00640E15" w:rsidRDefault="002D2592" w:rsidP="002D2592">
      <w:pPr>
        <w:pStyle w:val="Title"/>
        <w:pBdr>
          <w:bottom w:val="thinThickSmallGap" w:sz="24" w:space="1" w:color="auto"/>
        </w:pBd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SOUTHWESTERN </w:t>
      </w:r>
      <w:r w:rsidRPr="00640E15">
        <w:rPr>
          <w:b/>
          <w:sz w:val="28"/>
          <w:szCs w:val="28"/>
          <w:u w:val="none"/>
        </w:rPr>
        <w:t>LOCAL AREA</w:t>
      </w:r>
    </w:p>
    <w:p w14:paraId="0AB74484" w14:textId="77777777" w:rsidR="002D2592" w:rsidRPr="00B135A7" w:rsidRDefault="002D2592" w:rsidP="002D2592">
      <w:pPr>
        <w:pStyle w:val="Heading1"/>
        <w:jc w:val="left"/>
        <w:rPr>
          <w:sz w:val="16"/>
          <w:szCs w:val="16"/>
        </w:rPr>
      </w:pPr>
    </w:p>
    <w:p w14:paraId="33CC33B3" w14:textId="24A843CA" w:rsidR="002D2592" w:rsidRPr="0035601B" w:rsidRDefault="002D2592" w:rsidP="002D2592">
      <w:pPr>
        <w:pStyle w:val="Heading1"/>
        <w:jc w:val="left"/>
        <w:rPr>
          <w:rFonts w:asciiTheme="minorHAnsi" w:hAnsiTheme="minorHAnsi"/>
          <w:sz w:val="28"/>
          <w:szCs w:val="28"/>
        </w:rPr>
      </w:pPr>
      <w:r w:rsidRPr="00155C89">
        <w:rPr>
          <w:rFonts w:asciiTheme="minorHAnsi" w:hAnsiTheme="minorHAnsi"/>
          <w:sz w:val="24"/>
          <w:szCs w:val="28"/>
        </w:rPr>
        <w:t>SUBJECT:</w:t>
      </w:r>
      <w:r w:rsidRPr="00155C89">
        <w:rPr>
          <w:rFonts w:asciiTheme="minorHAnsi" w:hAnsiTheme="minorHAnsi"/>
          <w:sz w:val="28"/>
        </w:rPr>
        <w:tab/>
      </w:r>
      <w:r w:rsidRPr="00155C89">
        <w:rPr>
          <w:rFonts w:asciiTheme="minorHAnsi" w:hAnsiTheme="minorHAnsi"/>
          <w:sz w:val="28"/>
        </w:rPr>
        <w:tab/>
      </w:r>
      <w:r w:rsidR="006C41EB" w:rsidRPr="0035601B">
        <w:rPr>
          <w:rFonts w:asciiTheme="minorHAnsi" w:hAnsiTheme="minorHAnsi"/>
          <w:sz w:val="28"/>
          <w:szCs w:val="28"/>
        </w:rPr>
        <w:t>Oversight and Monitoring Policy</w:t>
      </w:r>
    </w:p>
    <w:p w14:paraId="663D6B0E" w14:textId="77777777" w:rsidR="0035601B" w:rsidRPr="0035601B" w:rsidRDefault="0035601B" w:rsidP="0035601B">
      <w:pPr>
        <w:rPr>
          <w:sz w:val="28"/>
          <w:szCs w:val="28"/>
        </w:rPr>
      </w:pPr>
    </w:p>
    <w:p w14:paraId="3BE83943" w14:textId="51787CE4" w:rsidR="002D2592" w:rsidRDefault="00092CAF" w:rsidP="00092CAF">
      <w:pPr>
        <w:ind w:left="2160" w:hanging="2160"/>
        <w:rPr>
          <w:rFonts w:asciiTheme="minorHAnsi" w:hAnsiTheme="minorHAnsi"/>
          <w:b/>
        </w:rPr>
      </w:pPr>
      <w:r w:rsidRPr="00155C89">
        <w:rPr>
          <w:rFonts w:asciiTheme="minorHAnsi" w:hAnsiTheme="minorHAnsi"/>
          <w:b/>
        </w:rPr>
        <w:t>P</w:t>
      </w:r>
      <w:r w:rsidR="002D2592" w:rsidRPr="00155C89">
        <w:rPr>
          <w:rFonts w:asciiTheme="minorHAnsi" w:hAnsiTheme="minorHAnsi"/>
          <w:b/>
        </w:rPr>
        <w:t>URPOSE:</w:t>
      </w:r>
      <w:r w:rsidRPr="00155C89">
        <w:rPr>
          <w:sz w:val="22"/>
        </w:rPr>
        <w:tab/>
      </w:r>
      <w:r w:rsidRPr="00155C89">
        <w:rPr>
          <w:rFonts w:asciiTheme="minorHAnsi" w:hAnsiTheme="minorHAnsi"/>
          <w:b/>
        </w:rPr>
        <w:t xml:space="preserve">To establish a policy for </w:t>
      </w:r>
      <w:r w:rsidR="0030336F">
        <w:rPr>
          <w:rFonts w:asciiTheme="minorHAnsi" w:hAnsiTheme="minorHAnsi"/>
          <w:b/>
        </w:rPr>
        <w:t xml:space="preserve">ensuring that (WIOA) Workforce Innovation and Opportunity Act funding and program operations </w:t>
      </w:r>
      <w:r w:rsidR="00066651">
        <w:rPr>
          <w:rFonts w:asciiTheme="minorHAnsi" w:hAnsiTheme="minorHAnsi"/>
          <w:b/>
        </w:rPr>
        <w:t>of Local Area contractors</w:t>
      </w:r>
      <w:r w:rsidR="007166A6">
        <w:rPr>
          <w:rFonts w:asciiTheme="minorHAnsi" w:hAnsiTheme="minorHAnsi"/>
          <w:b/>
        </w:rPr>
        <w:t xml:space="preserve"> </w:t>
      </w:r>
      <w:r w:rsidR="0030336F">
        <w:rPr>
          <w:rFonts w:asciiTheme="minorHAnsi" w:hAnsiTheme="minorHAnsi"/>
          <w:b/>
        </w:rPr>
        <w:t xml:space="preserve">meet the requirements of the federal WIOA </w:t>
      </w:r>
      <w:r w:rsidR="008F0D58">
        <w:rPr>
          <w:rFonts w:asciiTheme="minorHAnsi" w:hAnsiTheme="minorHAnsi"/>
          <w:b/>
        </w:rPr>
        <w:t>regulations</w:t>
      </w:r>
      <w:r w:rsidR="007166A6">
        <w:rPr>
          <w:rFonts w:asciiTheme="minorHAnsi" w:hAnsiTheme="minorHAnsi"/>
          <w:b/>
        </w:rPr>
        <w:t xml:space="preserve"> and </w:t>
      </w:r>
      <w:r w:rsidR="007166A6">
        <w:rPr>
          <w:rFonts w:asciiTheme="minorHAnsi" w:hAnsiTheme="minorHAnsi"/>
          <w:b/>
        </w:rPr>
        <w:br/>
      </w:r>
      <w:r w:rsidR="00221036">
        <w:rPr>
          <w:rFonts w:asciiTheme="minorHAnsi" w:hAnsiTheme="minorHAnsi"/>
          <w:b/>
        </w:rPr>
        <w:t xml:space="preserve">the </w:t>
      </w:r>
      <w:r w:rsidR="007166A6">
        <w:rPr>
          <w:rFonts w:asciiTheme="minorHAnsi" w:hAnsiTheme="minorHAnsi"/>
          <w:b/>
        </w:rPr>
        <w:t>NC Division of Workforce Solutions</w:t>
      </w:r>
    </w:p>
    <w:p w14:paraId="6C642B3A" w14:textId="59DB3898" w:rsidR="0030336F" w:rsidRDefault="0030336F" w:rsidP="00092CAF">
      <w:pPr>
        <w:ind w:left="2160" w:hanging="2160"/>
        <w:rPr>
          <w:rFonts w:asciiTheme="minorHAnsi" w:hAnsiTheme="minorHAnsi"/>
          <w:b/>
          <w:bCs/>
          <w:sz w:val="14"/>
          <w:szCs w:val="16"/>
        </w:rPr>
      </w:pPr>
    </w:p>
    <w:p w14:paraId="4A17080B" w14:textId="77777777" w:rsidR="0030336F" w:rsidRPr="00155C89" w:rsidRDefault="0030336F" w:rsidP="00092CAF">
      <w:pPr>
        <w:ind w:left="2160" w:hanging="2160"/>
        <w:rPr>
          <w:rFonts w:asciiTheme="minorHAnsi" w:hAnsiTheme="minorHAnsi"/>
          <w:b/>
          <w:bCs/>
          <w:sz w:val="14"/>
          <w:szCs w:val="16"/>
        </w:rPr>
      </w:pPr>
    </w:p>
    <w:p w14:paraId="56E99402" w14:textId="77777777" w:rsidR="00092CAF" w:rsidRDefault="002D2592" w:rsidP="00092CAF">
      <w:pPr>
        <w:ind w:left="2160" w:hanging="2160"/>
        <w:rPr>
          <w:rFonts w:asciiTheme="minorHAnsi" w:hAnsiTheme="minorHAnsi"/>
          <w:b/>
          <w:bCs/>
          <w:sz w:val="28"/>
          <w:szCs w:val="24"/>
        </w:rPr>
      </w:pPr>
      <w:r w:rsidRPr="00155C89">
        <w:rPr>
          <w:rFonts w:asciiTheme="minorHAnsi" w:hAnsiTheme="minorHAnsi"/>
          <w:b/>
          <w:bCs/>
          <w:szCs w:val="24"/>
        </w:rPr>
        <w:t>BACKGROUND:</w:t>
      </w:r>
      <w:r w:rsidR="00092CAF">
        <w:rPr>
          <w:rFonts w:asciiTheme="minorHAnsi" w:hAnsiTheme="minorHAnsi"/>
          <w:b/>
          <w:bCs/>
          <w:sz w:val="28"/>
          <w:szCs w:val="24"/>
        </w:rPr>
        <w:tab/>
      </w:r>
    </w:p>
    <w:p w14:paraId="59DFF44E" w14:textId="664C39E1" w:rsidR="002D2592" w:rsidRPr="00155C89" w:rsidRDefault="00092CAF" w:rsidP="00092CAF">
      <w:pPr>
        <w:rPr>
          <w:rFonts w:asciiTheme="minorHAnsi" w:hAnsiTheme="minorHAnsi"/>
          <w:bCs/>
          <w:sz w:val="22"/>
          <w:szCs w:val="24"/>
        </w:rPr>
      </w:pPr>
      <w:r w:rsidRPr="00155C89">
        <w:rPr>
          <w:rFonts w:asciiTheme="minorHAnsi" w:hAnsiTheme="minorHAnsi"/>
          <w:bCs/>
          <w:sz w:val="22"/>
          <w:szCs w:val="24"/>
        </w:rPr>
        <w:t>WI</w:t>
      </w:r>
      <w:r w:rsidR="001D56D2">
        <w:rPr>
          <w:rFonts w:asciiTheme="minorHAnsi" w:hAnsiTheme="minorHAnsi"/>
          <w:bCs/>
          <w:sz w:val="22"/>
          <w:szCs w:val="24"/>
        </w:rPr>
        <w:t>O</w:t>
      </w:r>
      <w:r w:rsidRPr="00155C89">
        <w:rPr>
          <w:rFonts w:asciiTheme="minorHAnsi" w:hAnsiTheme="minorHAnsi"/>
          <w:bCs/>
          <w:sz w:val="22"/>
          <w:szCs w:val="24"/>
        </w:rPr>
        <w:t xml:space="preserve">A </w:t>
      </w:r>
      <w:r w:rsidR="00837673">
        <w:rPr>
          <w:rFonts w:asciiTheme="minorHAnsi" w:hAnsiTheme="minorHAnsi"/>
          <w:bCs/>
          <w:sz w:val="22"/>
          <w:szCs w:val="24"/>
        </w:rPr>
        <w:t>regulations require th</w:t>
      </w:r>
      <w:r w:rsidR="007166A6">
        <w:rPr>
          <w:rFonts w:asciiTheme="minorHAnsi" w:hAnsiTheme="minorHAnsi"/>
          <w:bCs/>
          <w:sz w:val="22"/>
          <w:szCs w:val="24"/>
        </w:rPr>
        <w:t>e</w:t>
      </w:r>
      <w:r w:rsidR="00837673">
        <w:rPr>
          <w:rFonts w:asciiTheme="minorHAnsi" w:hAnsiTheme="minorHAnsi"/>
          <w:bCs/>
          <w:sz w:val="22"/>
          <w:szCs w:val="24"/>
        </w:rPr>
        <w:t xml:space="preserve"> monitoring of Local Area </w:t>
      </w:r>
      <w:r w:rsidR="00AB3F97">
        <w:rPr>
          <w:rFonts w:asciiTheme="minorHAnsi" w:hAnsiTheme="minorHAnsi"/>
          <w:bCs/>
          <w:sz w:val="22"/>
          <w:szCs w:val="24"/>
        </w:rPr>
        <w:t xml:space="preserve">WIOA </w:t>
      </w:r>
      <w:r w:rsidR="00837673">
        <w:rPr>
          <w:rFonts w:asciiTheme="minorHAnsi" w:hAnsiTheme="minorHAnsi"/>
          <w:bCs/>
          <w:sz w:val="22"/>
          <w:szCs w:val="24"/>
        </w:rPr>
        <w:t xml:space="preserve">program operators at least </w:t>
      </w:r>
      <w:r w:rsidR="00066651">
        <w:rPr>
          <w:rFonts w:asciiTheme="minorHAnsi" w:hAnsiTheme="minorHAnsi"/>
          <w:bCs/>
          <w:sz w:val="22"/>
          <w:szCs w:val="24"/>
        </w:rPr>
        <w:t xml:space="preserve">once on </w:t>
      </w:r>
      <w:r w:rsidR="00837673">
        <w:rPr>
          <w:rFonts w:asciiTheme="minorHAnsi" w:hAnsiTheme="minorHAnsi"/>
          <w:bCs/>
          <w:sz w:val="22"/>
          <w:szCs w:val="24"/>
        </w:rPr>
        <w:t xml:space="preserve">a </w:t>
      </w:r>
      <w:r w:rsidR="0035601B">
        <w:rPr>
          <w:rFonts w:asciiTheme="minorHAnsi" w:hAnsiTheme="minorHAnsi"/>
          <w:bCs/>
          <w:sz w:val="22"/>
          <w:szCs w:val="24"/>
        </w:rPr>
        <w:t>program year</w:t>
      </w:r>
      <w:r w:rsidR="00837673">
        <w:rPr>
          <w:rFonts w:asciiTheme="minorHAnsi" w:hAnsiTheme="minorHAnsi"/>
          <w:bCs/>
          <w:sz w:val="22"/>
          <w:szCs w:val="24"/>
        </w:rPr>
        <w:t xml:space="preserve"> b</w:t>
      </w:r>
      <w:r w:rsidR="00AB3F97">
        <w:rPr>
          <w:rFonts w:asciiTheme="minorHAnsi" w:hAnsiTheme="minorHAnsi"/>
          <w:bCs/>
          <w:sz w:val="22"/>
          <w:szCs w:val="24"/>
        </w:rPr>
        <w:t xml:space="preserve">asis </w:t>
      </w:r>
      <w:r w:rsidR="007166A6">
        <w:rPr>
          <w:rFonts w:asciiTheme="minorHAnsi" w:hAnsiTheme="minorHAnsi"/>
          <w:bCs/>
          <w:sz w:val="22"/>
          <w:szCs w:val="24"/>
        </w:rPr>
        <w:t xml:space="preserve">by Local Area staff </w:t>
      </w:r>
      <w:r w:rsidR="00AB3F97">
        <w:rPr>
          <w:rFonts w:asciiTheme="minorHAnsi" w:hAnsiTheme="minorHAnsi"/>
          <w:bCs/>
          <w:sz w:val="22"/>
          <w:szCs w:val="24"/>
        </w:rPr>
        <w:t>to ensure that WIOA program activities</w:t>
      </w:r>
      <w:r w:rsidR="00066651">
        <w:rPr>
          <w:rFonts w:asciiTheme="minorHAnsi" w:hAnsiTheme="minorHAnsi"/>
          <w:bCs/>
          <w:sz w:val="22"/>
          <w:szCs w:val="24"/>
        </w:rPr>
        <w:t xml:space="preserve"> </w:t>
      </w:r>
      <w:r w:rsidR="007166A6">
        <w:rPr>
          <w:rFonts w:asciiTheme="minorHAnsi" w:hAnsiTheme="minorHAnsi"/>
          <w:bCs/>
          <w:sz w:val="22"/>
          <w:szCs w:val="24"/>
        </w:rPr>
        <w:t xml:space="preserve">are properly administered and program </w:t>
      </w:r>
      <w:r w:rsidR="00066651">
        <w:rPr>
          <w:rFonts w:asciiTheme="minorHAnsi" w:hAnsiTheme="minorHAnsi"/>
          <w:bCs/>
          <w:sz w:val="22"/>
          <w:szCs w:val="24"/>
        </w:rPr>
        <w:t xml:space="preserve">funds are </w:t>
      </w:r>
      <w:r w:rsidR="007166A6">
        <w:rPr>
          <w:rFonts w:asciiTheme="minorHAnsi" w:hAnsiTheme="minorHAnsi"/>
          <w:bCs/>
          <w:sz w:val="22"/>
          <w:szCs w:val="24"/>
        </w:rPr>
        <w:t xml:space="preserve">properly expended and accounted for. </w:t>
      </w:r>
    </w:p>
    <w:p w14:paraId="7FAC3D88" w14:textId="77777777" w:rsidR="002D2592" w:rsidRPr="00092CAF" w:rsidRDefault="002D2592" w:rsidP="002D2592">
      <w:pPr>
        <w:rPr>
          <w:rFonts w:asciiTheme="minorHAnsi" w:hAnsiTheme="minorHAnsi"/>
          <w:b/>
          <w:bCs/>
          <w:sz w:val="16"/>
          <w:szCs w:val="16"/>
        </w:rPr>
      </w:pPr>
    </w:p>
    <w:p w14:paraId="0DC18B83" w14:textId="77777777" w:rsidR="002D2592" w:rsidRPr="00092CAF" w:rsidRDefault="002D2592" w:rsidP="002D2592">
      <w:pPr>
        <w:rPr>
          <w:rFonts w:asciiTheme="minorHAnsi" w:hAnsiTheme="minorHAnsi"/>
          <w:b/>
          <w:bCs/>
          <w:szCs w:val="24"/>
        </w:rPr>
      </w:pPr>
      <w:r w:rsidRPr="00092CAF">
        <w:rPr>
          <w:rFonts w:asciiTheme="minorHAnsi" w:hAnsiTheme="minorHAnsi"/>
          <w:b/>
          <w:bCs/>
          <w:szCs w:val="24"/>
        </w:rPr>
        <w:t>ACTION:</w:t>
      </w:r>
    </w:p>
    <w:p w14:paraId="7AFCB1E5" w14:textId="075A6EB1" w:rsidR="0038476D" w:rsidRDefault="00230733" w:rsidP="00230733">
      <w:p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 xml:space="preserve">The Southwestern Workforce Development Board has </w:t>
      </w:r>
      <w:r w:rsidR="00221036">
        <w:rPr>
          <w:rFonts w:asciiTheme="minorHAnsi" w:hAnsiTheme="minorHAnsi"/>
          <w:sz w:val="22"/>
        </w:rPr>
        <w:t>created Programmatic and Financial Monitoring Guide</w:t>
      </w:r>
      <w:r w:rsidR="00695D3F">
        <w:rPr>
          <w:rFonts w:asciiTheme="minorHAnsi" w:hAnsiTheme="minorHAnsi"/>
          <w:sz w:val="22"/>
        </w:rPr>
        <w:t>lines</w:t>
      </w:r>
      <w:r w:rsidR="00221036">
        <w:rPr>
          <w:rFonts w:asciiTheme="minorHAnsi" w:hAnsiTheme="minorHAnsi"/>
          <w:sz w:val="22"/>
        </w:rPr>
        <w:t xml:space="preserve"> to ensure </w:t>
      </w:r>
      <w:r w:rsidR="00695D3F">
        <w:rPr>
          <w:rFonts w:asciiTheme="minorHAnsi" w:hAnsiTheme="minorHAnsi"/>
          <w:sz w:val="22"/>
        </w:rPr>
        <w:t>that these aspects of the contractor operated WIOA programs are in compliance</w:t>
      </w:r>
      <w:r w:rsidR="0038476D">
        <w:rPr>
          <w:rFonts w:asciiTheme="minorHAnsi" w:hAnsiTheme="minorHAnsi"/>
          <w:sz w:val="22"/>
        </w:rPr>
        <w:t xml:space="preserve"> and are operating correctly. The following guides have been developed to assist in the monitoring process:</w:t>
      </w:r>
    </w:p>
    <w:p w14:paraId="33551FAB" w14:textId="77777777" w:rsidR="0038476D" w:rsidRDefault="0038476D" w:rsidP="00230733">
      <w:pPr>
        <w:rPr>
          <w:rFonts w:asciiTheme="minorHAnsi" w:hAnsiTheme="minorHAnsi"/>
          <w:sz w:val="22"/>
        </w:rPr>
      </w:pPr>
    </w:p>
    <w:p w14:paraId="476816BE" w14:textId="1BA196A0" w:rsidR="00221036" w:rsidRDefault="0038476D" w:rsidP="0038476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E77B7F">
        <w:rPr>
          <w:rFonts w:asciiTheme="minorHAnsi" w:hAnsiTheme="minorHAnsi"/>
          <w:b/>
          <w:sz w:val="22"/>
          <w:u w:val="single"/>
        </w:rPr>
        <w:t>Programmatic Monitoring Guide</w:t>
      </w:r>
      <w:r>
        <w:rPr>
          <w:rFonts w:asciiTheme="minorHAnsi" w:hAnsiTheme="minorHAnsi"/>
          <w:sz w:val="22"/>
        </w:rPr>
        <w:t xml:space="preserve"> (</w:t>
      </w:r>
      <w:r w:rsidR="00D43718">
        <w:rPr>
          <w:rFonts w:asciiTheme="minorHAnsi" w:hAnsiTheme="minorHAnsi"/>
          <w:sz w:val="22"/>
        </w:rPr>
        <w:t>Attachment</w:t>
      </w:r>
      <w:r>
        <w:rPr>
          <w:rFonts w:asciiTheme="minorHAnsi" w:hAnsiTheme="minorHAnsi"/>
          <w:sz w:val="22"/>
        </w:rPr>
        <w:t xml:space="preserve"> A) has been created to assist in the monitoring of certain aspects of the contractor to include an administrative review, program review, and to ascertain if the contractor is in EEO/nondiscrimination compliance.</w:t>
      </w:r>
    </w:p>
    <w:p w14:paraId="30160BB6" w14:textId="5B6AA7EC" w:rsidR="00A169EF" w:rsidRDefault="00A169EF" w:rsidP="00A169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</w:t>
      </w:r>
      <w:r>
        <w:rPr>
          <w:rFonts w:asciiTheme="minorHAnsi" w:hAnsiTheme="minorHAnsi"/>
          <w:sz w:val="22"/>
        </w:rPr>
        <w:br/>
        <w:t xml:space="preserve">                  </w:t>
      </w:r>
    </w:p>
    <w:p w14:paraId="4E681FF4" w14:textId="2C0F19A6" w:rsidR="0038476D" w:rsidRDefault="0038476D" w:rsidP="0038476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E77B7F">
        <w:rPr>
          <w:rFonts w:asciiTheme="minorHAnsi" w:hAnsiTheme="minorHAnsi"/>
          <w:b/>
          <w:sz w:val="22"/>
          <w:u w:val="single"/>
        </w:rPr>
        <w:t>Fiscal Monitoring Guide</w:t>
      </w:r>
      <w:r>
        <w:rPr>
          <w:rFonts w:asciiTheme="minorHAnsi" w:hAnsiTheme="minorHAnsi"/>
          <w:sz w:val="22"/>
        </w:rPr>
        <w:t xml:space="preserve"> (</w:t>
      </w:r>
      <w:r w:rsidR="00D43718">
        <w:rPr>
          <w:rFonts w:asciiTheme="minorHAnsi" w:hAnsiTheme="minorHAnsi"/>
          <w:sz w:val="22"/>
        </w:rPr>
        <w:t>Attachment</w:t>
      </w:r>
      <w:r>
        <w:rPr>
          <w:rFonts w:asciiTheme="minorHAnsi" w:hAnsiTheme="minorHAnsi"/>
          <w:sz w:val="22"/>
        </w:rPr>
        <w:t xml:space="preserve"> B) has been created to assist in the monitoring of certain aspects of the contractor to include a desk review (</w:t>
      </w:r>
      <w:r w:rsidR="007A27A5">
        <w:rPr>
          <w:rFonts w:asciiTheme="minorHAnsi" w:hAnsiTheme="minorHAnsi"/>
          <w:sz w:val="22"/>
        </w:rPr>
        <w:t>verification of payments to contractor, familiarization with contractor standard operating procedures, review of contract narrative, and review of contents of contractor file) and on-site fiscal monitoring activities.</w:t>
      </w:r>
    </w:p>
    <w:p w14:paraId="0992C01D" w14:textId="77777777" w:rsidR="001C7414" w:rsidRPr="0038476D" w:rsidRDefault="001C7414" w:rsidP="001C7414">
      <w:pPr>
        <w:pStyle w:val="ListParagraph"/>
        <w:ind w:left="915"/>
        <w:rPr>
          <w:rFonts w:asciiTheme="minorHAnsi" w:hAnsiTheme="minorHAnsi"/>
          <w:sz w:val="22"/>
        </w:rPr>
      </w:pPr>
    </w:p>
    <w:p w14:paraId="78C7D1AB" w14:textId="12EB0217" w:rsidR="00230733" w:rsidRPr="00155C89" w:rsidRDefault="00230733" w:rsidP="007A27A5">
      <w:pPr>
        <w:pStyle w:val="ListParagraph"/>
        <w:rPr>
          <w:rFonts w:asciiTheme="minorHAnsi" w:hAnsiTheme="minorHAnsi"/>
          <w:sz w:val="22"/>
        </w:rPr>
      </w:pPr>
    </w:p>
    <w:p w14:paraId="24C3963E" w14:textId="1B64F829" w:rsidR="00230733" w:rsidRDefault="001C7414" w:rsidP="0023073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Frequency of Monitoring Activities:</w:t>
      </w:r>
    </w:p>
    <w:p w14:paraId="621CBBDB" w14:textId="77777777" w:rsidR="001C7414" w:rsidRPr="00155C89" w:rsidRDefault="001C7414" w:rsidP="00230733">
      <w:pPr>
        <w:rPr>
          <w:rFonts w:asciiTheme="minorHAnsi" w:hAnsiTheme="minorHAnsi"/>
          <w:sz w:val="22"/>
        </w:rPr>
      </w:pPr>
    </w:p>
    <w:p w14:paraId="7E5C7D63" w14:textId="277FEC19" w:rsidR="00A169EF" w:rsidRDefault="001C7414" w:rsidP="00A169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</w:t>
      </w:r>
      <w:r w:rsidR="00A169EF" w:rsidRPr="00E77B7F">
        <w:rPr>
          <w:rFonts w:asciiTheme="minorHAnsi" w:hAnsiTheme="minorHAnsi"/>
          <w:b/>
          <w:sz w:val="22"/>
        </w:rPr>
        <w:t>Programmatic Monitoring</w:t>
      </w:r>
      <w:r w:rsidR="00A169EF">
        <w:rPr>
          <w:rFonts w:asciiTheme="minorHAnsi" w:hAnsiTheme="minorHAnsi"/>
          <w:sz w:val="22"/>
        </w:rPr>
        <w:t xml:space="preserve"> is performed on a monthly basis with the Board staff reviewing </w:t>
      </w:r>
      <w:r w:rsidR="00A169EF">
        <w:rPr>
          <w:rFonts w:asciiTheme="minorHAnsi" w:hAnsiTheme="minorHAnsi"/>
          <w:sz w:val="22"/>
        </w:rPr>
        <w:br/>
        <w:t xml:space="preserve">              </w:t>
      </w:r>
      <w:r w:rsidR="00295478">
        <w:rPr>
          <w:rFonts w:asciiTheme="minorHAnsi" w:hAnsiTheme="minorHAnsi"/>
          <w:sz w:val="22"/>
        </w:rPr>
        <w:t xml:space="preserve">contractor </w:t>
      </w:r>
      <w:r w:rsidR="00A169EF">
        <w:rPr>
          <w:rFonts w:asciiTheme="minorHAnsi" w:hAnsiTheme="minorHAnsi"/>
          <w:sz w:val="22"/>
        </w:rPr>
        <w:t xml:space="preserve">case manager </w:t>
      </w:r>
      <w:r w:rsidR="00295478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>ases</w:t>
      </w:r>
      <w:r w:rsidR="00A169EF">
        <w:rPr>
          <w:rFonts w:asciiTheme="minorHAnsi" w:hAnsiTheme="minorHAnsi"/>
          <w:sz w:val="22"/>
        </w:rPr>
        <w:t xml:space="preserve"> for eligibility </w:t>
      </w:r>
      <w:r>
        <w:rPr>
          <w:rFonts w:asciiTheme="minorHAnsi" w:hAnsiTheme="minorHAnsi"/>
          <w:sz w:val="22"/>
        </w:rPr>
        <w:t xml:space="preserve">and enrollment </w:t>
      </w:r>
      <w:r w:rsidR="00A169EF">
        <w:rPr>
          <w:rFonts w:asciiTheme="minorHAnsi" w:hAnsiTheme="minorHAnsi"/>
          <w:sz w:val="22"/>
        </w:rPr>
        <w:t>compliance</w:t>
      </w:r>
      <w:r>
        <w:rPr>
          <w:rFonts w:asciiTheme="minorHAnsi" w:hAnsiTheme="minorHAnsi"/>
          <w:sz w:val="22"/>
        </w:rPr>
        <w:t xml:space="preserve">. </w:t>
      </w:r>
      <w:r w:rsidR="00E77B7F">
        <w:rPr>
          <w:rFonts w:asciiTheme="minorHAnsi" w:hAnsiTheme="minorHAnsi"/>
          <w:sz w:val="22"/>
        </w:rPr>
        <w:t>P</w:t>
      </w:r>
      <w:r w:rsidR="00A169EF">
        <w:rPr>
          <w:rFonts w:asciiTheme="minorHAnsi" w:hAnsiTheme="minorHAnsi"/>
          <w:sz w:val="22"/>
        </w:rPr>
        <w:t xml:space="preserve">rogram </w:t>
      </w:r>
      <w:r>
        <w:rPr>
          <w:rFonts w:asciiTheme="minorHAnsi" w:hAnsiTheme="minorHAnsi"/>
          <w:sz w:val="22"/>
        </w:rPr>
        <w:t>activities are</w:t>
      </w:r>
      <w:r w:rsidR="00E77B7F">
        <w:rPr>
          <w:rFonts w:asciiTheme="minorHAnsi" w:hAnsiTheme="minorHAnsi"/>
          <w:sz w:val="22"/>
        </w:rPr>
        <w:t xml:space="preserve"> </w:t>
      </w:r>
      <w:r w:rsidR="00295478">
        <w:rPr>
          <w:rFonts w:asciiTheme="minorHAnsi" w:hAnsiTheme="minorHAnsi"/>
          <w:sz w:val="22"/>
        </w:rPr>
        <w:br/>
        <w:t xml:space="preserve">              </w:t>
      </w:r>
      <w:r w:rsidR="00E77B7F">
        <w:rPr>
          <w:rFonts w:asciiTheme="minorHAnsi" w:hAnsiTheme="minorHAnsi"/>
          <w:sz w:val="22"/>
        </w:rPr>
        <w:t>also</w:t>
      </w:r>
      <w:r w:rsidR="0029547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reviewed for correctness of entry and (ITA</w:t>
      </w:r>
      <w:r w:rsidR="00E77B7F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) individual training account</w:t>
      </w:r>
      <w:r w:rsidR="00E77B7F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and supportive</w:t>
      </w:r>
      <w:r w:rsidR="00295478">
        <w:rPr>
          <w:rFonts w:asciiTheme="minorHAnsi" w:hAnsiTheme="minorHAnsi"/>
          <w:sz w:val="22"/>
        </w:rPr>
        <w:br/>
        <w:t xml:space="preserve">             </w:t>
      </w:r>
      <w:r>
        <w:rPr>
          <w:rFonts w:asciiTheme="minorHAnsi" w:hAnsiTheme="minorHAnsi"/>
          <w:sz w:val="22"/>
        </w:rPr>
        <w:t xml:space="preserve"> services</w:t>
      </w:r>
      <w:r w:rsidR="00E77B7F">
        <w:rPr>
          <w:rFonts w:asciiTheme="minorHAnsi" w:hAnsiTheme="minorHAnsi"/>
          <w:sz w:val="22"/>
        </w:rPr>
        <w:t xml:space="preserve"> expenditures are reviewed for allowability. Follow up activities are reviewed for</w:t>
      </w:r>
      <w:r w:rsidR="00295478">
        <w:rPr>
          <w:rFonts w:asciiTheme="minorHAnsi" w:hAnsiTheme="minorHAnsi"/>
          <w:sz w:val="22"/>
        </w:rPr>
        <w:br/>
        <w:t xml:space="preserve">             </w:t>
      </w:r>
      <w:r w:rsidR="00E77B7F">
        <w:rPr>
          <w:rFonts w:asciiTheme="minorHAnsi" w:hAnsiTheme="minorHAnsi"/>
          <w:sz w:val="22"/>
        </w:rPr>
        <w:t xml:space="preserve"> timeliness as well. </w:t>
      </w:r>
      <w:r>
        <w:rPr>
          <w:rFonts w:asciiTheme="minorHAnsi" w:hAnsiTheme="minorHAnsi"/>
          <w:sz w:val="22"/>
        </w:rPr>
        <w:br/>
        <w:t xml:space="preserve">               </w:t>
      </w:r>
    </w:p>
    <w:p w14:paraId="3D4334E7" w14:textId="4F86003A" w:rsidR="00A169EF" w:rsidRDefault="00E77B7F" w:rsidP="00A169EF">
      <w:pPr>
        <w:rPr>
          <w:rFonts w:asciiTheme="minorHAnsi" w:hAnsiTheme="minorHAnsi"/>
          <w:sz w:val="22"/>
        </w:rPr>
      </w:pPr>
      <w:r w:rsidRPr="00E77B7F">
        <w:rPr>
          <w:rFonts w:asciiTheme="minorHAnsi" w:hAnsiTheme="minorHAnsi"/>
          <w:b/>
          <w:sz w:val="22"/>
        </w:rPr>
        <w:t xml:space="preserve">             Fiscal Monitoring</w:t>
      </w:r>
      <w:r>
        <w:rPr>
          <w:rFonts w:asciiTheme="minorHAnsi" w:hAnsiTheme="minorHAnsi"/>
          <w:sz w:val="22"/>
        </w:rPr>
        <w:t xml:space="preserve"> </w:t>
      </w:r>
      <w:r w:rsidR="00295478">
        <w:rPr>
          <w:rFonts w:asciiTheme="minorHAnsi" w:hAnsiTheme="minorHAnsi"/>
          <w:sz w:val="22"/>
        </w:rPr>
        <w:t xml:space="preserve">of contractor expenditures </w:t>
      </w:r>
      <w:r>
        <w:rPr>
          <w:rFonts w:asciiTheme="minorHAnsi" w:hAnsiTheme="minorHAnsi"/>
          <w:sz w:val="22"/>
        </w:rPr>
        <w:t xml:space="preserve">is performed at least once during the program year. </w:t>
      </w:r>
      <w:r w:rsidR="00295478">
        <w:rPr>
          <w:rFonts w:asciiTheme="minorHAnsi" w:hAnsiTheme="minorHAnsi"/>
          <w:sz w:val="22"/>
        </w:rPr>
        <w:br/>
        <w:t xml:space="preserve">             </w:t>
      </w:r>
      <w:r>
        <w:rPr>
          <w:rFonts w:asciiTheme="minorHAnsi" w:hAnsiTheme="minorHAnsi"/>
          <w:sz w:val="22"/>
        </w:rPr>
        <w:t xml:space="preserve">It </w:t>
      </w:r>
      <w:r w:rsidR="00A0491A">
        <w:rPr>
          <w:rFonts w:asciiTheme="minorHAnsi" w:hAnsiTheme="minorHAnsi"/>
          <w:sz w:val="22"/>
        </w:rPr>
        <w:t xml:space="preserve">will </w:t>
      </w:r>
      <w:r>
        <w:rPr>
          <w:rFonts w:asciiTheme="minorHAnsi" w:hAnsiTheme="minorHAnsi"/>
          <w:sz w:val="22"/>
        </w:rPr>
        <w:t xml:space="preserve">usually occur around </w:t>
      </w:r>
      <w:r w:rsidR="00295478">
        <w:rPr>
          <w:rFonts w:asciiTheme="minorHAnsi" w:hAnsiTheme="minorHAnsi"/>
          <w:sz w:val="22"/>
        </w:rPr>
        <w:t>mid-program</w:t>
      </w:r>
      <w:r>
        <w:rPr>
          <w:rFonts w:asciiTheme="minorHAnsi" w:hAnsiTheme="minorHAnsi"/>
          <w:sz w:val="22"/>
        </w:rPr>
        <w:t xml:space="preserve"> year.</w:t>
      </w:r>
    </w:p>
    <w:p w14:paraId="7BAE071A" w14:textId="5E53658F" w:rsidR="0049304F" w:rsidRDefault="0049304F" w:rsidP="00A169EF">
      <w:pPr>
        <w:rPr>
          <w:rFonts w:asciiTheme="minorHAnsi" w:hAnsiTheme="minorHAnsi"/>
          <w:sz w:val="22"/>
        </w:rPr>
      </w:pPr>
    </w:p>
    <w:p w14:paraId="406BF531" w14:textId="08AA3544" w:rsidR="0049304F" w:rsidRDefault="0049304F" w:rsidP="00A169EF">
      <w:pPr>
        <w:rPr>
          <w:rFonts w:asciiTheme="minorHAnsi" w:hAnsiTheme="minorHAnsi"/>
          <w:sz w:val="22"/>
        </w:rPr>
      </w:pPr>
    </w:p>
    <w:p w14:paraId="04CA2ABA" w14:textId="5AD5DDD0" w:rsidR="0049304F" w:rsidRDefault="0049304F" w:rsidP="00A169EF">
      <w:pPr>
        <w:rPr>
          <w:rFonts w:asciiTheme="minorHAnsi" w:hAnsiTheme="minorHAnsi"/>
          <w:sz w:val="22"/>
        </w:rPr>
      </w:pPr>
    </w:p>
    <w:p w14:paraId="59AB4FE6" w14:textId="1C251481" w:rsidR="0049304F" w:rsidRDefault="0049304F" w:rsidP="00A169EF">
      <w:pPr>
        <w:rPr>
          <w:rFonts w:asciiTheme="minorHAnsi" w:hAnsiTheme="minorHAnsi"/>
          <w:sz w:val="22"/>
        </w:rPr>
      </w:pPr>
    </w:p>
    <w:p w14:paraId="55906C8F" w14:textId="77777777" w:rsidR="0049304F" w:rsidRDefault="0049304F" w:rsidP="00A169EF">
      <w:pPr>
        <w:rPr>
          <w:rFonts w:asciiTheme="minorHAnsi" w:hAnsiTheme="minorHAnsi"/>
          <w:sz w:val="22"/>
        </w:rPr>
      </w:pPr>
    </w:p>
    <w:p w14:paraId="6B569B22" w14:textId="77777777" w:rsidR="0049304F" w:rsidRPr="00155C89" w:rsidRDefault="0049304F" w:rsidP="00A169EF">
      <w:pPr>
        <w:rPr>
          <w:rFonts w:asciiTheme="minorHAnsi" w:hAnsiTheme="minorHAnsi"/>
          <w:sz w:val="22"/>
        </w:rPr>
      </w:pPr>
    </w:p>
    <w:p w14:paraId="6562C2C5" w14:textId="68BEE4CD" w:rsidR="00155C89" w:rsidRPr="00DE326C" w:rsidRDefault="00155C89" w:rsidP="00A169EF">
      <w:pPr>
        <w:tabs>
          <w:tab w:val="left" w:pos="1065"/>
        </w:tabs>
        <w:rPr>
          <w:rFonts w:asciiTheme="minorHAnsi" w:hAnsiTheme="minorHAnsi"/>
          <w:sz w:val="22"/>
        </w:rPr>
      </w:pPr>
    </w:p>
    <w:p w14:paraId="34F05B3B" w14:textId="77777777" w:rsidR="002D2592" w:rsidRDefault="002D2592" w:rsidP="002D2592">
      <w:pPr>
        <w:jc w:val="both"/>
      </w:pPr>
      <w:r>
        <w:t>EFFECTIVE DATE:</w:t>
      </w:r>
      <w:r>
        <w:tab/>
      </w:r>
      <w:r>
        <w:tab/>
        <w:t>Immediate</w:t>
      </w:r>
    </w:p>
    <w:p w14:paraId="03E8BDF4" w14:textId="77777777" w:rsidR="002D2592" w:rsidRPr="00934404" w:rsidRDefault="002D2592" w:rsidP="002D2592">
      <w:pPr>
        <w:jc w:val="both"/>
        <w:rPr>
          <w:sz w:val="18"/>
          <w:szCs w:val="18"/>
        </w:rPr>
      </w:pPr>
    </w:p>
    <w:p w14:paraId="12CBF31D" w14:textId="77777777" w:rsidR="002D2592" w:rsidRDefault="002D2592" w:rsidP="002D2592">
      <w:pPr>
        <w:jc w:val="both"/>
      </w:pPr>
      <w:r>
        <w:t>EXPIRATION DATE:</w:t>
      </w:r>
      <w:r>
        <w:tab/>
        <w:t>Indefinite</w:t>
      </w:r>
    </w:p>
    <w:p w14:paraId="353A5F3A" w14:textId="77777777" w:rsidR="002D2592" w:rsidRPr="00934404" w:rsidRDefault="002D2592" w:rsidP="002D2592">
      <w:pPr>
        <w:jc w:val="both"/>
        <w:rPr>
          <w:sz w:val="18"/>
          <w:szCs w:val="18"/>
        </w:rPr>
      </w:pPr>
    </w:p>
    <w:p w14:paraId="1B63F6AF" w14:textId="7E4190A0" w:rsidR="002D2592" w:rsidRDefault="002D2592" w:rsidP="002D2592">
      <w:pPr>
        <w:jc w:val="both"/>
      </w:pPr>
      <w:r>
        <w:t>CONTACT:</w:t>
      </w:r>
      <w:r>
        <w:tab/>
      </w:r>
      <w:r>
        <w:tab/>
      </w:r>
      <w:r>
        <w:tab/>
      </w:r>
      <w:r w:rsidR="00224913">
        <w:t>David Garrett</w:t>
      </w:r>
    </w:p>
    <w:p w14:paraId="64FB5D68" w14:textId="77777777" w:rsidR="002D2592" w:rsidRDefault="002D2592" w:rsidP="002D2592">
      <w:pPr>
        <w:jc w:val="both"/>
        <w:rPr>
          <w:b/>
          <w:sz w:val="16"/>
          <w:szCs w:val="16"/>
          <w:u w:val="single"/>
        </w:rPr>
      </w:pPr>
    </w:p>
    <w:sectPr w:rsidR="002D2592" w:rsidSect="00803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C439" w14:textId="77777777" w:rsidR="00F778D6" w:rsidRDefault="00F778D6" w:rsidP="002D2592">
      <w:r>
        <w:separator/>
      </w:r>
    </w:p>
  </w:endnote>
  <w:endnote w:type="continuationSeparator" w:id="0">
    <w:p w14:paraId="00663BE0" w14:textId="77777777" w:rsidR="00F778D6" w:rsidRDefault="00F778D6" w:rsidP="002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41C" w14:textId="77777777" w:rsidR="00157FE9" w:rsidRDefault="00157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4E2" w14:textId="6700E8D6" w:rsidR="000C4839" w:rsidRDefault="000C4839" w:rsidP="002D2592">
    <w:pPr>
      <w:pStyle w:val="Footer"/>
      <w:tabs>
        <w:tab w:val="right" w:pos="8730"/>
      </w:tabs>
      <w:rPr>
        <w:i/>
        <w:sz w:val="18"/>
        <w:szCs w:val="18"/>
      </w:rPr>
    </w:pPr>
    <w:r>
      <w:rPr>
        <w:i/>
        <w:sz w:val="18"/>
        <w:szCs w:val="18"/>
      </w:rPr>
      <w:t xml:space="preserve">Southwestern Workforce Development Consortium – </w:t>
    </w:r>
  </w:p>
  <w:p w14:paraId="0987D1FB" w14:textId="77777777" w:rsidR="000C4839" w:rsidRPr="00427198" w:rsidRDefault="000C4839" w:rsidP="00D95DA2">
    <w:pPr>
      <w:pStyle w:val="Footer"/>
      <w:tabs>
        <w:tab w:val="right" w:pos="8730"/>
      </w:tabs>
      <w:ind w:left="-540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</w:p>
  <w:p w14:paraId="3A8F2F6C" w14:textId="77777777" w:rsidR="000C4839" w:rsidRDefault="000C4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534" w14:textId="77777777" w:rsidR="00157FE9" w:rsidRDefault="00157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E0CF" w14:textId="77777777" w:rsidR="00F778D6" w:rsidRDefault="00F778D6" w:rsidP="002D2592">
      <w:r>
        <w:separator/>
      </w:r>
    </w:p>
  </w:footnote>
  <w:footnote w:type="continuationSeparator" w:id="0">
    <w:p w14:paraId="2C637F19" w14:textId="77777777" w:rsidR="00F778D6" w:rsidRDefault="00F778D6" w:rsidP="002D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3BE4" w14:textId="77777777" w:rsidR="00157FE9" w:rsidRDefault="0015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AAB6" w14:textId="77777777" w:rsidR="00157FE9" w:rsidRDefault="0015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AC98" w14:textId="77777777" w:rsidR="00157FE9" w:rsidRDefault="0015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7D0B"/>
    <w:multiLevelType w:val="hybridMultilevel"/>
    <w:tmpl w:val="DB70FAD6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E5C"/>
    <w:multiLevelType w:val="hybridMultilevel"/>
    <w:tmpl w:val="A816BDE8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E68"/>
    <w:multiLevelType w:val="hybridMultilevel"/>
    <w:tmpl w:val="8CA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B3C"/>
    <w:multiLevelType w:val="hybridMultilevel"/>
    <w:tmpl w:val="1F461D14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1260"/>
    <w:multiLevelType w:val="hybridMultilevel"/>
    <w:tmpl w:val="5FEC717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3AB7352"/>
    <w:multiLevelType w:val="hybridMultilevel"/>
    <w:tmpl w:val="A82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6370">
    <w:abstractNumId w:val="0"/>
  </w:num>
  <w:num w:numId="2" w16cid:durableId="1569342072">
    <w:abstractNumId w:val="3"/>
  </w:num>
  <w:num w:numId="3" w16cid:durableId="1042632310">
    <w:abstractNumId w:val="1"/>
  </w:num>
  <w:num w:numId="4" w16cid:durableId="1302689347">
    <w:abstractNumId w:val="2"/>
  </w:num>
  <w:num w:numId="5" w16cid:durableId="28183906">
    <w:abstractNumId w:val="5"/>
  </w:num>
  <w:num w:numId="6" w16cid:durableId="1805922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2"/>
    <w:rsid w:val="00066651"/>
    <w:rsid w:val="00092CAF"/>
    <w:rsid w:val="000A1677"/>
    <w:rsid w:val="000C4839"/>
    <w:rsid w:val="000D58A2"/>
    <w:rsid w:val="000D779E"/>
    <w:rsid w:val="000F79A9"/>
    <w:rsid w:val="001034E3"/>
    <w:rsid w:val="00135EED"/>
    <w:rsid w:val="001428C4"/>
    <w:rsid w:val="00155C89"/>
    <w:rsid w:val="00157FE9"/>
    <w:rsid w:val="00184BC0"/>
    <w:rsid w:val="00187EEC"/>
    <w:rsid w:val="001C0BF9"/>
    <w:rsid w:val="001C7414"/>
    <w:rsid w:val="001D56D2"/>
    <w:rsid w:val="001F613C"/>
    <w:rsid w:val="00221036"/>
    <w:rsid w:val="00224913"/>
    <w:rsid w:val="00230733"/>
    <w:rsid w:val="0024183F"/>
    <w:rsid w:val="00295478"/>
    <w:rsid w:val="002D2592"/>
    <w:rsid w:val="002E5F54"/>
    <w:rsid w:val="0030336F"/>
    <w:rsid w:val="0031100C"/>
    <w:rsid w:val="0035601B"/>
    <w:rsid w:val="0038476D"/>
    <w:rsid w:val="003B7C5A"/>
    <w:rsid w:val="003F300D"/>
    <w:rsid w:val="00432C15"/>
    <w:rsid w:val="00461FB6"/>
    <w:rsid w:val="0049304F"/>
    <w:rsid w:val="004A147F"/>
    <w:rsid w:val="005B4194"/>
    <w:rsid w:val="005D1C75"/>
    <w:rsid w:val="00657030"/>
    <w:rsid w:val="00663E61"/>
    <w:rsid w:val="00695D3F"/>
    <w:rsid w:val="006C41EB"/>
    <w:rsid w:val="007166A6"/>
    <w:rsid w:val="0079233C"/>
    <w:rsid w:val="007A27A5"/>
    <w:rsid w:val="007C1A8C"/>
    <w:rsid w:val="00803354"/>
    <w:rsid w:val="00812FCE"/>
    <w:rsid w:val="00837673"/>
    <w:rsid w:val="00882850"/>
    <w:rsid w:val="008A3B53"/>
    <w:rsid w:val="008C49E9"/>
    <w:rsid w:val="008F0D58"/>
    <w:rsid w:val="00935BD1"/>
    <w:rsid w:val="00983148"/>
    <w:rsid w:val="00990303"/>
    <w:rsid w:val="00A0491A"/>
    <w:rsid w:val="00A169EF"/>
    <w:rsid w:val="00A2729F"/>
    <w:rsid w:val="00A35E64"/>
    <w:rsid w:val="00A5658F"/>
    <w:rsid w:val="00A91D6A"/>
    <w:rsid w:val="00AB3F97"/>
    <w:rsid w:val="00AB7A80"/>
    <w:rsid w:val="00B1216A"/>
    <w:rsid w:val="00BB3C31"/>
    <w:rsid w:val="00C240D2"/>
    <w:rsid w:val="00C80AF7"/>
    <w:rsid w:val="00CE36AE"/>
    <w:rsid w:val="00D43718"/>
    <w:rsid w:val="00D95DA2"/>
    <w:rsid w:val="00DE326C"/>
    <w:rsid w:val="00E256CA"/>
    <w:rsid w:val="00E34B3D"/>
    <w:rsid w:val="00E77B7F"/>
    <w:rsid w:val="00F55354"/>
    <w:rsid w:val="00F70C71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CC91"/>
  <w15:docId w15:val="{382DBAA5-53C7-4686-A76C-E79CAB6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9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259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D2592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59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259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D2592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D259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D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Ledford</dc:creator>
  <cp:lastModifiedBy>David Garrett</cp:lastModifiedBy>
  <cp:revision>4</cp:revision>
  <cp:lastPrinted>2018-05-22T19:13:00Z</cp:lastPrinted>
  <dcterms:created xsi:type="dcterms:W3CDTF">2019-04-22T17:10:00Z</dcterms:created>
  <dcterms:modified xsi:type="dcterms:W3CDTF">2023-05-23T20:29:00Z</dcterms:modified>
</cp:coreProperties>
</file>